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1FF3F" w14:textId="77777777" w:rsidR="00624E38" w:rsidRPr="00624E38" w:rsidRDefault="00624E38" w:rsidP="00624E38">
      <w:pPr>
        <w:widowControl/>
        <w:suppressAutoHyphens w:val="0"/>
        <w:spacing w:before="120"/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  <w:t>A) Schema di domanda per il personale dipendente dell’Ateneo</w:t>
      </w:r>
    </w:p>
    <w:p w14:paraId="5D39E93B" w14:textId="77777777" w:rsidR="00624E38" w:rsidRPr="00624E38" w:rsidRDefault="00624E38" w:rsidP="00624E38">
      <w:pPr>
        <w:widowControl/>
        <w:suppressAutoHyphens w:val="0"/>
        <w:ind w:left="4560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740BD52F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0B102D39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E82D81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="00E82D81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72044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CAPPELLINI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Pr="00624E38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5405A92A" w14:textId="77777777" w:rsid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24E38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0448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6405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2025-03-05T09:56:00Z</dcterms:created>
  <dcterms:modified xsi:type="dcterms:W3CDTF">2025-03-05T09:56:00Z</dcterms:modified>
</cp:coreProperties>
</file>